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附件3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关于“五四”评优线上投票评分标准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的说明</w:t>
      </w:r>
    </w:p>
    <w:p>
      <w:pPr>
        <w:widowControl/>
        <w:shd w:val="clear" w:color="auto" w:fill="FFFFFF"/>
        <w:autoSpaceDE w:val="0"/>
        <w:spacing w:line="48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各二级团委（总支部）、直属支部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关于2017-2018年度“五四”评优表彰线上投票评分标准，现做以下说明：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线上投票由各院系团总支提供相关材料，由校团委统一整理，并于校团委公众号发布推文；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线上投票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占“五四”评优总分值5%，以最终票数与该院系团员总人数的比例分为五个评分标准：占比0%-20%，得1分；占比21%-40%，得2分；占比41%-60%，得3分；占比61%-80%，得4分；占比81%-100%，得5分；5分即为上限。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共青团中山大学南方学院委员会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2018年4月26日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37EB"/>
    <w:multiLevelType w:val="singleLevel"/>
    <w:tmpl w:val="2FCF3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4496"/>
    <w:rsid w:val="5E434496"/>
    <w:rsid w:val="60B74D80"/>
    <w:rsid w:val="793263F0"/>
    <w:rsid w:val="7B2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2018-04-26T02:56:00Z</dcterms:created>
  <dc:creator>乔</dc:creator>
  <cp:lastModifiedBy>hAnG.Yo</cp:lastModifiedBy>
  <dcterms:modified xsi:type="dcterms:W3CDTF">2018-04-26T03:26:05Z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